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emf" ContentType="image/x-emf"/>
  <Default Extension="bin" ContentType="application/vnd.openxmlformats-officedocument.wordprocessingml.printerSettings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2CDF" w:rsidRDefault="00FC2CDF" w:rsidP="00FC2CDF">
      <w:pPr>
        <w:widowControl w:val="0"/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noProof/>
          <w:sz w:val="28"/>
          <w:szCs w:val="28"/>
        </w:rPr>
        <w:drawing>
          <wp:inline distT="0" distB="0" distL="0" distR="0">
            <wp:extent cx="8229600" cy="301688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4-20120508.pd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301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CDF" w:rsidRDefault="00FC2CDF" w:rsidP="00FC2CDF">
      <w:pPr>
        <w:widowControl w:val="0"/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</w:p>
    <w:p w:rsidR="00F76D6D" w:rsidRPr="00FC2CDF" w:rsidRDefault="00FC2CDF" w:rsidP="00FC2CDF">
      <w:pPr>
        <w:widowControl w:val="0"/>
        <w:autoSpaceDE w:val="0"/>
        <w:autoSpaceDN w:val="0"/>
        <w:adjustRightInd w:val="0"/>
        <w:rPr>
          <w:rFonts w:ascii="TimesNewRomanPS-BoldMT" w:hAnsi="TimesNewRomanPS-BoldMT" w:cs="TimesNewRomanPS-BoldMT"/>
          <w:sz w:val="28"/>
          <w:szCs w:val="28"/>
        </w:rPr>
      </w:pPr>
      <w:r w:rsidRPr="00FC2CDF">
        <w:rPr>
          <w:rFonts w:ascii="TimesNewRomanPS-BoldMT" w:hAnsi="TimesNewRomanPS-BoldMT" w:cs="TimesNewRomanPS-BoldMT"/>
          <w:b/>
          <w:bCs/>
          <w:sz w:val="28"/>
          <w:szCs w:val="28"/>
        </w:rPr>
        <w:t xml:space="preserve">Fig. 4. </w:t>
      </w:r>
      <w:r w:rsidRPr="00FC2CDF">
        <w:rPr>
          <w:rFonts w:ascii="TimesNewRomanPS-BoldMT" w:hAnsi="TimesNewRomanPS-BoldMT" w:cs="TimesNewRomanPS-BoldMT"/>
          <w:sz w:val="28"/>
          <w:szCs w:val="28"/>
        </w:rPr>
        <w:t>Cluster analysis of enamel pellicle peptide sequences identifies enamel-binding residues. A network of pairwise pellicle peptide sequence alignments</w:t>
      </w:r>
      <w:r w:rsidRPr="00FC2CDF">
        <w:rPr>
          <w:rFonts w:ascii="TimesNewRomanPS-BoldMT" w:hAnsi="TimesNewRomanPS-BoldMT" w:cs="TimesNewRomanPS-BoldMT"/>
          <w:sz w:val="28"/>
          <w:szCs w:val="28"/>
        </w:rPr>
        <w:t xml:space="preserve"> </w:t>
      </w:r>
      <w:r w:rsidRPr="00FC2CDF">
        <w:rPr>
          <w:rFonts w:ascii="TimesNewRomanPS-BoldMT" w:hAnsi="TimesNewRomanPS-BoldMT" w:cs="TimesNewRomanPS-BoldMT"/>
          <w:sz w:val="28"/>
          <w:szCs w:val="28"/>
        </w:rPr>
        <w:t>was clustered, with edge weights given by alignment scores (increasing edge width and green to violet color) and threshold cutoff corresponding to that of</w:t>
      </w:r>
      <w:r w:rsidRPr="00FC2CDF">
        <w:rPr>
          <w:rFonts w:ascii="TimesNewRomanPS-BoldMT" w:hAnsi="TimesNewRomanPS-BoldMT" w:cs="TimesNewRomanPS-BoldMT"/>
          <w:sz w:val="28"/>
          <w:szCs w:val="28"/>
        </w:rPr>
        <w:t xml:space="preserve"> </w:t>
      </w:r>
      <w:r w:rsidRPr="00FC2CDF">
        <w:rPr>
          <w:rFonts w:ascii="TimesNewRomanPS-BoldMT" w:hAnsi="TimesNewRomanPS-BoldMT" w:cs="TimesNewRomanPS-BoldMT"/>
          <w:sz w:val="28"/>
          <w:szCs w:val="28"/>
        </w:rPr>
        <w:t>the maximum Matthews correlation coefficient in Figure 2c. Protein names that appear multiple times indicate alternate peptides derived from the same</w:t>
      </w:r>
      <w:r w:rsidRPr="00FC2CDF">
        <w:rPr>
          <w:rFonts w:ascii="TimesNewRomanPS-BoldMT" w:hAnsi="TimesNewRomanPS-BoldMT" w:cs="TimesNewRomanPS-BoldMT"/>
          <w:sz w:val="28"/>
          <w:szCs w:val="28"/>
        </w:rPr>
        <w:t xml:space="preserve"> </w:t>
      </w:r>
      <w:r w:rsidRPr="00FC2CDF">
        <w:rPr>
          <w:rFonts w:ascii="TimesNewRomanPS-BoldMT" w:hAnsi="TimesNewRomanPS-BoldMT" w:cs="TimesNewRomanPS-BoldMT"/>
          <w:sz w:val="28"/>
          <w:szCs w:val="28"/>
        </w:rPr>
        <w:t>protein. Multiple sequence alignments for each cluster are analyzed: the estimated importance of each alignment column relative to the entire set is shown as</w:t>
      </w:r>
      <w:r w:rsidRPr="00FC2CDF">
        <w:rPr>
          <w:rFonts w:ascii="TimesNewRomanPS-BoldMT" w:hAnsi="TimesNewRomanPS-BoldMT" w:cs="TimesNewRomanPS-BoldMT"/>
          <w:sz w:val="28"/>
          <w:szCs w:val="28"/>
        </w:rPr>
        <w:t xml:space="preserve"> </w:t>
      </w:r>
      <w:r w:rsidRPr="00FC2CDF">
        <w:rPr>
          <w:rFonts w:ascii="TimesNewRomanPS-BoldMT" w:hAnsi="TimesNewRomanPS-BoldMT" w:cs="TimesNewRomanPS-BoldMT"/>
          <w:sz w:val="28"/>
          <w:szCs w:val="28"/>
        </w:rPr>
        <w:t>blue bars; and that of each residue to its cluster is shown in white to green; bold font marks the top 25th percentile of score</w:t>
      </w:r>
      <w:r w:rsidRPr="00FC2CDF">
        <w:rPr>
          <w:rFonts w:ascii="TimesNewRomanPS-BoldMT" w:hAnsi="TimesNewRomanPS-BoldMT" w:cs="TimesNewRomanPS-BoldMT"/>
          <w:sz w:val="28"/>
          <w:szCs w:val="28"/>
        </w:rPr>
        <w:t xml:space="preserve">s. This analysis identifies the </w:t>
      </w:r>
      <w:r w:rsidRPr="00FC2CDF">
        <w:rPr>
          <w:rFonts w:ascii="TimesNewRomanPS-BoldMT" w:hAnsi="TimesNewRomanPS-BoldMT" w:cs="TimesNewRomanPS-BoldMT"/>
          <w:sz w:val="28"/>
          <w:szCs w:val="28"/>
        </w:rPr>
        <w:t xml:space="preserve">mutual information in the pellicle peptides that encodes the function they have in common: enamel binding. All comparisons were calculated with </w:t>
      </w:r>
      <w:r>
        <w:rPr>
          <w:rFonts w:ascii="TimesNewRomanPS-BoldMT" w:hAnsi="TimesNewRomanPS-BoldMT" w:cs="TimesNewRomanPS-BoldMT"/>
          <w:sz w:val="28"/>
          <w:szCs w:val="28"/>
        </w:rPr>
        <w:t xml:space="preserve">the </w:t>
      </w:r>
      <w:proofErr w:type="spellStart"/>
      <w:r w:rsidRPr="00FC2CDF">
        <w:rPr>
          <w:rFonts w:ascii="TimesNewRomanPS-BoldMT" w:hAnsi="TimesNewRomanPS-BoldMT" w:cs="TimesNewRomanPS-BoldMT"/>
          <w:sz w:val="28"/>
          <w:szCs w:val="28"/>
        </w:rPr>
        <w:t>pellitrix</w:t>
      </w:r>
      <w:proofErr w:type="spellEnd"/>
      <w:r>
        <w:rPr>
          <w:rFonts w:ascii="TimesNewRomanPS-BoldMT" w:hAnsi="TimesNewRomanPS-BoldMT" w:cs="TimesNewRomanPS-BoldMT"/>
          <w:sz w:val="28"/>
          <w:szCs w:val="28"/>
        </w:rPr>
        <w:t xml:space="preserve"> amino acid substitution matrix</w:t>
      </w:r>
      <w:bookmarkStart w:id="0" w:name="_GoBack"/>
      <w:bookmarkEnd w:id="0"/>
      <w:r w:rsidRPr="00FC2CDF">
        <w:rPr>
          <w:rFonts w:ascii="TimesNewRomanPS-BoldMT" w:hAnsi="TimesNewRomanPS-BoldMT" w:cs="TimesNewRomanPS-BoldMT"/>
          <w:sz w:val="28"/>
          <w:szCs w:val="28"/>
        </w:rPr>
        <w:t>.</w:t>
      </w:r>
    </w:p>
    <w:sectPr w:rsidR="00F76D6D" w:rsidRPr="00FC2CDF" w:rsidSect="00FC2CDF">
      <w:pgSz w:w="15840" w:h="12240" w:orient="landscape"/>
      <w:pgMar w:top="1800" w:right="1440" w:bottom="1800" w:left="1440" w:header="720" w:footer="720" w:gutter="0"/>
      <w:cols w:space="720"/>
      <w:printerSettings r:id="rId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NewRomanPS-BoldMT">
    <w:altName w:val="Times New Roman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27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2CDF"/>
    <w:rsid w:val="003A4771"/>
    <w:rsid w:val="006B4F15"/>
    <w:rsid w:val="00A20EF3"/>
    <w:rsid w:val="00F76D6D"/>
    <w:rsid w:val="00FC2CDF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4CA965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C2CD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2CDF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C2CD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C2CD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7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6" Type="http://schemas.openxmlformats.org/officeDocument/2006/relationships/printerSettings" Target="printerSettings/printerSettings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145</Words>
  <Characters>827</Characters>
  <Application>Microsoft Macintosh Word</Application>
  <DocSecurity>0</DocSecurity>
  <Lines>6</Lines>
  <Paragraphs>1</Paragraphs>
  <ScaleCrop>false</ScaleCrop>
  <Company>UCSF</Company>
  <LinksUpToDate>false</LinksUpToDate>
  <CharactersWithSpaces>971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Jeremy Horst</dc:creator>
  <cp:keywords/>
  <dc:description/>
  <cp:lastModifiedBy>Jeremy Horst</cp:lastModifiedBy>
  <cp:revision>1</cp:revision>
  <dcterms:created xsi:type="dcterms:W3CDTF">2012-05-10T16:06:00Z</dcterms:created>
  <dcterms:modified xsi:type="dcterms:W3CDTF">2012-05-10T16:08:00Z</dcterms:modified>
</cp:coreProperties>
</file>